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D81754" w14:paraId="1AF56205" w14:textId="77777777" w:rsidTr="00D81754">
        <w:trPr>
          <w:trHeight w:val="1725"/>
          <w:tblCellSpacing w:w="0" w:type="dxa"/>
          <w:jc w:val="center"/>
        </w:trPr>
        <w:tc>
          <w:tcPr>
            <w:tcW w:w="0" w:type="auto"/>
            <w:tcMar>
              <w:top w:w="75" w:type="dxa"/>
              <w:left w:w="0" w:type="dxa"/>
              <w:bottom w:w="75" w:type="dxa"/>
              <w:right w:w="0" w:type="dxa"/>
            </w:tcMar>
          </w:tcPr>
          <w:p w14:paraId="4A816029" w14:textId="77777777" w:rsidR="00D81754" w:rsidRDefault="00D81754">
            <w:pPr>
              <w:jc w:val="center"/>
              <w:rPr>
                <w:rFonts w:ascii="Arial" w:hAnsi="Arial" w:cs="Arial"/>
                <w:color w:val="555555"/>
                <w:sz w:val="24"/>
                <w:szCs w:val="24"/>
              </w:rPr>
            </w:pPr>
          </w:p>
          <w:p w14:paraId="78943D08" w14:textId="77777777" w:rsidR="00D81754" w:rsidRDefault="00D81754" w:rsidP="00D81754">
            <w:pPr>
              <w:jc w:val="center"/>
              <w:rPr>
                <w:rStyle w:val="Strong"/>
                <w:rFonts w:ascii="Georgia" w:hAnsi="Georgia"/>
                <w:color w:val="1A7D9C"/>
                <w:sz w:val="40"/>
                <w:szCs w:val="40"/>
              </w:rPr>
            </w:pPr>
            <w:r>
              <w:rPr>
                <w:rStyle w:val="Strong"/>
                <w:rFonts w:ascii="Georgia" w:hAnsi="Georgia"/>
                <w:color w:val="1A7D9C"/>
                <w:sz w:val="40"/>
                <w:szCs w:val="40"/>
              </w:rPr>
              <w:t>Montana Community Health Worker Bulletin</w:t>
            </w:r>
          </w:p>
          <w:p w14:paraId="677F5539" w14:textId="5C758484" w:rsidR="00D81754" w:rsidRPr="00D81754" w:rsidRDefault="00D81754" w:rsidP="00D81754">
            <w:pPr>
              <w:jc w:val="center"/>
              <w:rPr>
                <w:rFonts w:ascii="Georgia" w:hAnsi="Georgia"/>
                <w:color w:val="1A7D9C"/>
                <w:sz w:val="40"/>
                <w:szCs w:val="40"/>
              </w:rPr>
            </w:pPr>
            <w:r>
              <w:rPr>
                <w:rFonts w:ascii="Georgia" w:hAnsi="Georgia"/>
                <w:noProof/>
                <w:color w:val="1A7D9C"/>
                <w:sz w:val="40"/>
                <w:szCs w:val="40"/>
              </w:rPr>
              <w:drawing>
                <wp:inline distT="0" distB="0" distL="0" distR="0" wp14:anchorId="5C337A41" wp14:editId="03869101">
                  <wp:extent cx="1209675" cy="1295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1295400"/>
                          </a:xfrm>
                          <a:prstGeom prst="rect">
                            <a:avLst/>
                          </a:prstGeom>
                          <a:noFill/>
                        </pic:spPr>
                      </pic:pic>
                    </a:graphicData>
                  </a:graphic>
                </wp:inline>
              </w:drawing>
            </w:r>
          </w:p>
        </w:tc>
      </w:tr>
    </w:tbl>
    <w:p w14:paraId="52BE2C63" w14:textId="13814036" w:rsidR="00D81754" w:rsidRDefault="00D81754" w:rsidP="00D81754">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D81754" w14:paraId="3A737810" w14:textId="77777777" w:rsidTr="00D81754">
        <w:trPr>
          <w:trHeight w:val="15"/>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D81754" w14:paraId="42F80463" w14:textId="77777777">
              <w:trPr>
                <w:trHeight w:val="15"/>
                <w:tblCellSpacing w:w="0" w:type="dxa"/>
              </w:trPr>
              <w:tc>
                <w:tcPr>
                  <w:tcW w:w="0" w:type="auto"/>
                  <w:shd w:val="clear" w:color="auto" w:fill="FFB966"/>
                  <w:tcMar>
                    <w:top w:w="0" w:type="dxa"/>
                    <w:left w:w="0" w:type="dxa"/>
                    <w:bottom w:w="135" w:type="dxa"/>
                    <w:right w:w="0" w:type="dxa"/>
                  </w:tcMar>
                  <w:vAlign w:val="center"/>
                  <w:hideMark/>
                </w:tcPr>
                <w:p w14:paraId="64B9B23F" w14:textId="4B98D398" w:rsidR="00D81754" w:rsidRDefault="00D81754">
                  <w:pPr>
                    <w:spacing w:line="15" w:lineRule="atLeast"/>
                    <w:jc w:val="center"/>
                  </w:pPr>
                  <w:r>
                    <w:rPr>
                      <w:noProof/>
                      <w:color w:val="000000"/>
                    </w:rPr>
                    <w:drawing>
                      <wp:inline distT="0" distB="0" distL="0" distR="0" wp14:anchorId="481436A6" wp14:editId="0573EEB2">
                        <wp:extent cx="476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3FCD1A37" w14:textId="77777777" w:rsidR="00D81754" w:rsidRDefault="00D81754">
            <w:pPr>
              <w:rPr>
                <w:rFonts w:ascii="Times New Roman" w:eastAsia="Times New Roman" w:hAnsi="Times New Roman" w:cs="Times New Roman"/>
                <w:sz w:val="20"/>
                <w:szCs w:val="20"/>
              </w:rPr>
            </w:pPr>
          </w:p>
        </w:tc>
      </w:tr>
    </w:tbl>
    <w:p w14:paraId="7A45571F" w14:textId="53B28C61" w:rsidR="00D81754" w:rsidRDefault="00D81754" w:rsidP="00D81754"/>
    <w:p w14:paraId="2BB1A590" w14:textId="77777777" w:rsidR="00D81754" w:rsidRDefault="00D81754" w:rsidP="00D81754">
      <w:pPr>
        <w:jc w:val="center"/>
        <w:rPr>
          <w:rFonts w:ascii="Verdana" w:hAnsi="Verdana"/>
          <w:color w:val="014C83"/>
          <w:sz w:val="32"/>
          <w:szCs w:val="32"/>
        </w:rPr>
      </w:pPr>
      <w:r>
        <w:rPr>
          <w:rFonts w:ascii="Verdana" w:hAnsi="Verdana"/>
          <w:b/>
          <w:bCs/>
          <w:color w:val="014C83"/>
          <w:sz w:val="32"/>
          <w:szCs w:val="32"/>
        </w:rPr>
        <w:t>What is a Community Health Worker?</w:t>
      </w:r>
    </w:p>
    <w:p w14:paraId="5929569C" w14:textId="77777777" w:rsidR="00D81754" w:rsidRDefault="00D81754" w:rsidP="00D81754">
      <w:pPr>
        <w:jc w:val="center"/>
        <w:rPr>
          <w:rFonts w:ascii="Verdana" w:hAnsi="Verdana"/>
          <w:color w:val="014C83"/>
          <w:sz w:val="32"/>
          <w:szCs w:val="32"/>
        </w:rPr>
      </w:pPr>
    </w:p>
    <w:p w14:paraId="21EC7B96" w14:textId="2C523777" w:rsidR="00D81754" w:rsidRDefault="00D81754" w:rsidP="00D81754">
      <w:pPr>
        <w:rPr>
          <w:rFonts w:ascii="Verdana" w:hAnsi="Verdana"/>
          <w:color w:val="1B305C"/>
          <w:sz w:val="24"/>
          <w:szCs w:val="24"/>
        </w:rPr>
      </w:pPr>
      <w:r>
        <w:rPr>
          <w:noProof/>
        </w:rPr>
        <w:drawing>
          <wp:anchor distT="47625" distB="47625" distL="47625" distR="47625" simplePos="0" relativeHeight="251658240" behindDoc="0" locked="0" layoutInCell="1" allowOverlap="0" wp14:anchorId="0A5CF863" wp14:editId="082CAAAF">
            <wp:simplePos x="0" y="0"/>
            <wp:positionH relativeFrom="column">
              <wp:align>left</wp:align>
            </wp:positionH>
            <wp:positionV relativeFrom="line">
              <wp:posOffset>0</wp:posOffset>
            </wp:positionV>
            <wp:extent cx="2352675" cy="13144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352675" cy="13144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olor w:val="1B305C"/>
          <w:sz w:val="24"/>
          <w:szCs w:val="24"/>
        </w:rPr>
        <w:t>A Community Health Worker (CHW) is a frontline public health worker who is a trusted member of and/or has a close understanding of the community served. </w:t>
      </w:r>
    </w:p>
    <w:p w14:paraId="084DE5F7" w14:textId="5FC488A3" w:rsidR="00D81754" w:rsidRDefault="00D81754" w:rsidP="00D81754">
      <w:pPr>
        <w:rPr>
          <w:rFonts w:ascii="Verdana" w:hAnsi="Verdana"/>
          <w:color w:val="1B305C"/>
          <w:sz w:val="24"/>
          <w:szCs w:val="24"/>
        </w:rPr>
      </w:pPr>
    </w:p>
    <w:p w14:paraId="2F7BD83F" w14:textId="44C02D6F" w:rsidR="00D81754" w:rsidRDefault="00D81754" w:rsidP="00D81754">
      <w:pPr>
        <w:rPr>
          <w:rFonts w:ascii="Verdana" w:hAnsi="Verdana"/>
          <w:color w:val="1B305C"/>
          <w:sz w:val="24"/>
          <w:szCs w:val="24"/>
        </w:rPr>
      </w:pPr>
      <w:r>
        <w:rPr>
          <w:rFonts w:ascii="Verdana" w:hAnsi="Verdana"/>
          <w:color w:val="1B305C"/>
          <w:sz w:val="24"/>
          <w:szCs w:val="24"/>
        </w:rPr>
        <w:t>The trusting relationship enables the CHW to serve as a liason/link/intermediary between health and social services and the community to facilitate access to services and improve the quality and cultural competence of service delivery.</w:t>
      </w:r>
    </w:p>
    <w:p w14:paraId="3D23C679" w14:textId="03CD053D" w:rsidR="00D81754" w:rsidRDefault="00D81754" w:rsidP="00D81754">
      <w:pPr>
        <w:rPr>
          <w:rFonts w:ascii="Verdana" w:hAnsi="Verdana"/>
          <w:color w:val="1B305C"/>
          <w:sz w:val="24"/>
          <w:szCs w:val="24"/>
        </w:rPr>
      </w:pPr>
    </w:p>
    <w:p w14:paraId="2081E4C7" w14:textId="628DFF41" w:rsidR="00D81754" w:rsidRDefault="00D81754" w:rsidP="00D81754">
      <w:pPr>
        <w:rPr>
          <w:rFonts w:ascii="Verdana" w:hAnsi="Verdana"/>
          <w:color w:val="1B305C"/>
          <w:sz w:val="24"/>
          <w:szCs w:val="24"/>
        </w:rPr>
      </w:pPr>
      <w:r>
        <w:rPr>
          <w:rFonts w:ascii="Verdana" w:hAnsi="Verdana"/>
          <w:color w:val="1B305C"/>
          <w:sz w:val="24"/>
          <w:szCs w:val="24"/>
        </w:rPr>
        <w:t>A CHW also builds individual and community capacity to increase health knowledge and self-sufficiency through a range of activities such as outreach, community education, informal counseling, social support and advocacy. </w:t>
      </w:r>
    </w:p>
    <w:p w14:paraId="32327172" w14:textId="039FBF14" w:rsidR="00D81754" w:rsidRDefault="00D81754" w:rsidP="00D81754">
      <w:pPr>
        <w:rPr>
          <w:rFonts w:ascii="Verdana" w:hAnsi="Verdana"/>
          <w:color w:val="1B305C"/>
          <w:sz w:val="24"/>
          <w:szCs w:val="24"/>
        </w:rPr>
      </w:pPr>
    </w:p>
    <w:p w14:paraId="5437035F" w14:textId="348AFCF4" w:rsidR="00D81754" w:rsidRDefault="00D81754" w:rsidP="00D81754">
      <w:pPr>
        <w:rPr>
          <w:rFonts w:ascii="Verdana" w:hAnsi="Verdana"/>
          <w:color w:val="1B305C"/>
          <w:sz w:val="24"/>
          <w:szCs w:val="24"/>
        </w:rPr>
      </w:pPr>
      <w:r>
        <w:rPr>
          <w:rFonts w:ascii="Verdana" w:hAnsi="Verdana"/>
          <w:color w:val="1B305C"/>
          <w:sz w:val="24"/>
          <w:szCs w:val="24"/>
        </w:rPr>
        <w:t>Other Job Titles - Case Manager, Care Coordinator, Outreach Worker, Patient Navigator, Community Resource Specialist</w:t>
      </w:r>
    </w:p>
    <w:p w14:paraId="03C04CDE" w14:textId="25645471" w:rsidR="00D81754" w:rsidRDefault="00D81754" w:rsidP="00D81754"/>
    <w:p w14:paraId="2E6A0EE4" w14:textId="5724C38A" w:rsidR="00D81754" w:rsidRDefault="00D81754" w:rsidP="00D81754">
      <w:r>
        <w:rPr>
          <w:rFonts w:ascii="Arial" w:hAnsi="Arial" w:cs="Arial"/>
          <w:b/>
          <w:bCs/>
          <w:noProof/>
          <w:color w:val="001A81"/>
          <w:sz w:val="36"/>
          <w:szCs w:val="36"/>
          <w:shd w:val="clear" w:color="auto" w:fill="FFFFFF"/>
        </w:rPr>
        <w:drawing>
          <wp:anchor distT="0" distB="0" distL="114300" distR="114300" simplePos="0" relativeHeight="251659264" behindDoc="0" locked="0" layoutInCell="1" allowOverlap="1" wp14:anchorId="59ED0D42" wp14:editId="33B2D4FA">
            <wp:simplePos x="0" y="0"/>
            <wp:positionH relativeFrom="margin">
              <wp:posOffset>742950</wp:posOffset>
            </wp:positionH>
            <wp:positionV relativeFrom="paragraph">
              <wp:posOffset>5715</wp:posOffset>
            </wp:positionV>
            <wp:extent cx="5292090" cy="3038475"/>
            <wp:effectExtent l="0" t="0" r="381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2090" cy="3038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E720E5" w14:textId="118ADF0F" w:rsidR="00D81754" w:rsidRDefault="00D81754" w:rsidP="00D81754"/>
    <w:p w14:paraId="7232EB60" w14:textId="2F38BF7D" w:rsidR="00D81754" w:rsidRDefault="00D81754" w:rsidP="00D81754"/>
    <w:p w14:paraId="00CF0593" w14:textId="45AA74F4" w:rsidR="00D81754" w:rsidRDefault="00D81754" w:rsidP="00D81754"/>
    <w:p w14:paraId="3D1C4A6A" w14:textId="77777777" w:rsidR="00D81754" w:rsidRDefault="00D81754" w:rsidP="00D81754"/>
    <w:p w14:paraId="4939DFB2" w14:textId="77777777" w:rsidR="00D81754" w:rsidRDefault="00D81754" w:rsidP="00D81754"/>
    <w:p w14:paraId="7089CA74" w14:textId="77777777" w:rsidR="00D81754" w:rsidRDefault="00D81754" w:rsidP="00D81754"/>
    <w:p w14:paraId="40526022" w14:textId="77777777" w:rsidR="00D81754" w:rsidRDefault="00D81754" w:rsidP="00D81754"/>
    <w:p w14:paraId="0E685894" w14:textId="77777777" w:rsidR="00D81754" w:rsidRDefault="00D81754" w:rsidP="00D81754"/>
    <w:p w14:paraId="2301C8BC" w14:textId="77777777" w:rsidR="00D81754" w:rsidRDefault="00D81754" w:rsidP="00D81754"/>
    <w:p w14:paraId="1244E4E9" w14:textId="386E7813" w:rsidR="00D81754" w:rsidRDefault="00D81754" w:rsidP="00D81754"/>
    <w:p w14:paraId="01013CCF" w14:textId="2F11875E" w:rsidR="00D81754" w:rsidRDefault="00D81754" w:rsidP="00D81754"/>
    <w:p w14:paraId="4E830088" w14:textId="12B84404" w:rsidR="00D81754" w:rsidRDefault="00D81754" w:rsidP="00D81754"/>
    <w:p w14:paraId="4216026D" w14:textId="6167F98B" w:rsidR="00D81754" w:rsidRDefault="00D81754" w:rsidP="00D81754"/>
    <w:p w14:paraId="6CDD438D" w14:textId="7F75744D" w:rsidR="00D81754" w:rsidRDefault="00D81754" w:rsidP="00D81754"/>
    <w:p w14:paraId="57FBA662" w14:textId="6C2AD38B" w:rsidR="00D81754" w:rsidRDefault="00D81754" w:rsidP="00D81754"/>
    <w:p w14:paraId="42026273" w14:textId="70879F6E" w:rsidR="00D81754" w:rsidRDefault="00D81754" w:rsidP="00D81754"/>
    <w:p w14:paraId="1DFC2E02" w14:textId="6E7DBDB1" w:rsidR="00D81754" w:rsidRDefault="00D81754" w:rsidP="00D81754"/>
    <w:p w14:paraId="0069BD59" w14:textId="77777777" w:rsidR="00D81754" w:rsidRDefault="00D81754" w:rsidP="00D81754">
      <w:pPr>
        <w:jc w:val="center"/>
        <w:rPr>
          <w:rFonts w:ascii="Verdana" w:hAnsi="Verdana"/>
          <w:color w:val="1B305C"/>
          <w:sz w:val="32"/>
          <w:szCs w:val="32"/>
        </w:rPr>
      </w:pPr>
      <w:r>
        <w:rPr>
          <w:rStyle w:val="Strong"/>
          <w:rFonts w:ascii="Verdana" w:hAnsi="Verdana"/>
          <w:color w:val="1B305C"/>
          <w:sz w:val="32"/>
          <w:szCs w:val="32"/>
        </w:rPr>
        <w:lastRenderedPageBreak/>
        <w:t>Article Spotlight</w:t>
      </w:r>
    </w:p>
    <w:p w14:paraId="7391BD12" w14:textId="71D8047C" w:rsidR="00D81754" w:rsidRDefault="00D81754" w:rsidP="00D81754">
      <w:pPr>
        <w:jc w:val="center"/>
        <w:rPr>
          <w:rFonts w:ascii="Verdana" w:hAnsi="Verdana"/>
          <w:color w:val="1B305C"/>
          <w:sz w:val="20"/>
          <w:szCs w:val="20"/>
        </w:rPr>
      </w:pPr>
      <w:r>
        <w:rPr>
          <w:rStyle w:val="Emphasis"/>
          <w:rFonts w:ascii="Verdana" w:hAnsi="Verdana"/>
          <w:color w:val="1B305C"/>
          <w:sz w:val="20"/>
          <w:szCs w:val="20"/>
        </w:rPr>
        <w:t>  </w:t>
      </w:r>
      <w:r>
        <w:rPr>
          <w:noProof/>
        </w:rPr>
        <w:drawing>
          <wp:anchor distT="47625" distB="47625" distL="47625" distR="47625" simplePos="0" relativeHeight="251661312" behindDoc="0" locked="0" layoutInCell="1" allowOverlap="0" wp14:anchorId="43FA9D1A" wp14:editId="0C8BFF91">
            <wp:simplePos x="0" y="0"/>
            <wp:positionH relativeFrom="column">
              <wp:align>right</wp:align>
            </wp:positionH>
            <wp:positionV relativeFrom="line">
              <wp:posOffset>0</wp:posOffset>
            </wp:positionV>
            <wp:extent cx="2247900" cy="14763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247900" cy="1476375"/>
                    </a:xfrm>
                    <a:prstGeom prst="rect">
                      <a:avLst/>
                    </a:prstGeom>
                    <a:noFill/>
                  </pic:spPr>
                </pic:pic>
              </a:graphicData>
            </a:graphic>
            <wp14:sizeRelH relativeFrom="page">
              <wp14:pctWidth>0</wp14:pctWidth>
            </wp14:sizeRelH>
            <wp14:sizeRelV relativeFrom="page">
              <wp14:pctHeight>0</wp14:pctHeight>
            </wp14:sizeRelV>
          </wp:anchor>
        </w:drawing>
      </w:r>
    </w:p>
    <w:p w14:paraId="390F4F28" w14:textId="77777777" w:rsidR="00D81754" w:rsidRDefault="00D81754" w:rsidP="00D81754">
      <w:pPr>
        <w:jc w:val="center"/>
        <w:rPr>
          <w:rFonts w:ascii="Verdana" w:hAnsi="Verdana"/>
          <w:color w:val="1B305C"/>
          <w:sz w:val="24"/>
          <w:szCs w:val="24"/>
        </w:rPr>
      </w:pPr>
      <w:r>
        <w:rPr>
          <w:rStyle w:val="Emphasis"/>
          <w:rFonts w:ascii="Verdana" w:hAnsi="Verdana"/>
          <w:color w:val="1B305C"/>
          <w:sz w:val="24"/>
          <w:szCs w:val="24"/>
        </w:rPr>
        <w:t>"I Hired a Community Health Worker and Now We Work Miracles"</w:t>
      </w:r>
    </w:p>
    <w:p w14:paraId="1B5C7DE3" w14:textId="77777777" w:rsidR="00D81754" w:rsidRDefault="00D81754" w:rsidP="00D81754">
      <w:pPr>
        <w:jc w:val="center"/>
        <w:rPr>
          <w:rFonts w:ascii="Verdana" w:hAnsi="Verdana"/>
          <w:color w:val="1B305C"/>
          <w:sz w:val="24"/>
          <w:szCs w:val="24"/>
        </w:rPr>
      </w:pPr>
    </w:p>
    <w:p w14:paraId="46562476" w14:textId="77777777" w:rsidR="00D81754" w:rsidRDefault="00D81754" w:rsidP="00D81754">
      <w:pPr>
        <w:shd w:val="clear" w:color="auto" w:fill="FFFFFF"/>
        <w:rPr>
          <w:rFonts w:ascii="Arial" w:hAnsi="Arial" w:cs="Arial"/>
          <w:color w:val="1B305C"/>
          <w:sz w:val="24"/>
          <w:szCs w:val="24"/>
        </w:rPr>
      </w:pPr>
      <w:r>
        <w:rPr>
          <w:rFonts w:ascii="Verdana" w:hAnsi="Verdana"/>
          <w:color w:val="1B305C"/>
          <w:sz w:val="24"/>
          <w:szCs w:val="24"/>
        </w:rPr>
        <w:t>One rural West Virginia physician's </w:t>
      </w:r>
    </w:p>
    <w:p w14:paraId="71C1A924" w14:textId="77777777" w:rsidR="00D81754" w:rsidRDefault="00D81754" w:rsidP="00D81754">
      <w:pPr>
        <w:shd w:val="clear" w:color="auto" w:fill="FFFFFF"/>
        <w:rPr>
          <w:rFonts w:ascii="Arial" w:hAnsi="Arial" w:cs="Arial"/>
          <w:color w:val="1B305C"/>
          <w:sz w:val="24"/>
          <w:szCs w:val="24"/>
        </w:rPr>
      </w:pPr>
      <w:r>
        <w:rPr>
          <w:rFonts w:ascii="Verdana" w:hAnsi="Verdana"/>
          <w:color w:val="1B305C"/>
          <w:sz w:val="24"/>
          <w:szCs w:val="24"/>
        </w:rPr>
        <w:t xml:space="preserve">account of the invaluable work her Community Health Worker does for her patients. "Patients need doctors, but aren't </w:t>
      </w:r>
      <w:r>
        <w:rPr>
          <w:rStyle w:val="Emphasis"/>
          <w:rFonts w:ascii="Verdana" w:hAnsi="Verdana"/>
          <w:color w:val="1B305C"/>
          <w:sz w:val="24"/>
          <w:szCs w:val="24"/>
        </w:rPr>
        <w:t>all</w:t>
      </w:r>
      <w:r>
        <w:rPr>
          <w:rFonts w:ascii="Verdana" w:hAnsi="Verdana"/>
          <w:color w:val="1B305C"/>
          <w:sz w:val="24"/>
          <w:szCs w:val="24"/>
        </w:rPr>
        <w:t xml:space="preserve"> they need to achieve better health. Sometimes they need things that seem impossible, and somehow community health workers make miracles happen." This article highlights the amazing work CHWs are doing across the nation, by bridging the gaps in patient care outside of the doctor's office.</w:t>
      </w:r>
    </w:p>
    <w:p w14:paraId="2D82C7F6" w14:textId="77777777" w:rsidR="00D81754" w:rsidRDefault="00D81754" w:rsidP="00D81754">
      <w:pPr>
        <w:shd w:val="clear" w:color="auto" w:fill="FFFFFF"/>
        <w:rPr>
          <w:rFonts w:ascii="Arial" w:hAnsi="Arial" w:cs="Arial"/>
          <w:color w:val="1B305C"/>
          <w:sz w:val="24"/>
          <w:szCs w:val="24"/>
        </w:rPr>
      </w:pPr>
    </w:p>
    <w:p w14:paraId="7FC0E80B" w14:textId="063D8300" w:rsidR="00D81754" w:rsidRDefault="00D81754" w:rsidP="00D81754">
      <w:pPr>
        <w:rPr>
          <w:rFonts w:ascii="Verdana" w:hAnsi="Verdana"/>
          <w:color w:val="1B305C"/>
          <w:sz w:val="24"/>
          <w:szCs w:val="24"/>
        </w:rPr>
      </w:pPr>
      <w:r>
        <w:rPr>
          <w:rFonts w:ascii="Verdana" w:hAnsi="Verdana"/>
          <w:color w:val="1B305C"/>
          <w:sz w:val="24"/>
          <w:szCs w:val="24"/>
        </w:rPr>
        <w:t>Click </w:t>
      </w:r>
      <w:hyperlink r:id="rId10" w:tgtFrame="_blank" w:history="1">
        <w:r>
          <w:rPr>
            <w:rStyle w:val="Hyperlink"/>
            <w:rFonts w:ascii="Verdana" w:hAnsi="Verdana"/>
            <w:color w:val="008000"/>
            <w:sz w:val="24"/>
            <w:szCs w:val="24"/>
          </w:rPr>
          <w:t>here</w:t>
        </w:r>
      </w:hyperlink>
      <w:r>
        <w:rPr>
          <w:rFonts w:ascii="Verdana" w:hAnsi="Verdana"/>
          <w:color w:val="1B305C"/>
          <w:sz w:val="24"/>
          <w:szCs w:val="24"/>
        </w:rPr>
        <w:t> for the full article on AAFP.</w:t>
      </w:r>
    </w:p>
    <w:p w14:paraId="41A7664F" w14:textId="77777777" w:rsidR="00D81754" w:rsidRDefault="00D81754" w:rsidP="00D81754">
      <w:pPr>
        <w:rPr>
          <w:rFonts w:ascii="Verdana" w:hAnsi="Verdana"/>
          <w:color w:val="1B305C"/>
          <w:sz w:val="24"/>
          <w:szCs w:val="24"/>
        </w:rPr>
      </w:pPr>
    </w:p>
    <w:p w14:paraId="6F193D11" w14:textId="77777777" w:rsidR="00D81754" w:rsidRDefault="00D81754" w:rsidP="00D81754"/>
    <w:p w14:paraId="1ED91A79" w14:textId="77777777" w:rsidR="00D81754" w:rsidRDefault="00D81754" w:rsidP="00D81754">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D81754" w14:paraId="1E4DD4BC" w14:textId="77777777" w:rsidTr="00D81754">
        <w:trPr>
          <w:trHeight w:val="15"/>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D81754" w14:paraId="703FD75D" w14:textId="77777777">
              <w:trPr>
                <w:trHeight w:val="15"/>
                <w:tblCellSpacing w:w="0" w:type="dxa"/>
              </w:trPr>
              <w:tc>
                <w:tcPr>
                  <w:tcW w:w="0" w:type="auto"/>
                  <w:shd w:val="clear" w:color="auto" w:fill="FFB966"/>
                  <w:tcMar>
                    <w:top w:w="0" w:type="dxa"/>
                    <w:left w:w="0" w:type="dxa"/>
                    <w:bottom w:w="135" w:type="dxa"/>
                    <w:right w:w="0" w:type="dxa"/>
                  </w:tcMar>
                  <w:vAlign w:val="center"/>
                  <w:hideMark/>
                </w:tcPr>
                <w:p w14:paraId="09D94BDB" w14:textId="7C7EB511" w:rsidR="00D81754" w:rsidRDefault="00D81754">
                  <w:pPr>
                    <w:spacing w:line="15" w:lineRule="atLeast"/>
                    <w:jc w:val="center"/>
                  </w:pPr>
                  <w:r>
                    <w:rPr>
                      <w:noProof/>
                      <w:color w:val="000000"/>
                    </w:rPr>
                    <w:drawing>
                      <wp:inline distT="0" distB="0" distL="0" distR="0" wp14:anchorId="0A4BF3EA" wp14:editId="12F28255">
                        <wp:extent cx="47625" cy="9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5C35FD93" w14:textId="77777777" w:rsidR="00D81754" w:rsidRDefault="00D81754">
            <w:pPr>
              <w:rPr>
                <w:rFonts w:ascii="Times New Roman" w:eastAsia="Times New Roman" w:hAnsi="Times New Roman" w:cs="Times New Roman"/>
                <w:sz w:val="20"/>
                <w:szCs w:val="20"/>
              </w:rPr>
            </w:pPr>
          </w:p>
        </w:tc>
      </w:tr>
    </w:tbl>
    <w:p w14:paraId="2AE6EC17" w14:textId="0B1AC898" w:rsidR="00D81754" w:rsidRDefault="00D81754" w:rsidP="00D81754">
      <w:pPr>
        <w:jc w:val="center"/>
      </w:pPr>
    </w:p>
    <w:p w14:paraId="0A197CA2" w14:textId="77777777" w:rsidR="00D81754" w:rsidRDefault="00D81754" w:rsidP="00D81754">
      <w:pPr>
        <w:jc w:val="center"/>
        <w:rPr>
          <w:rFonts w:ascii="Arial" w:hAnsi="Arial" w:cs="Arial"/>
          <w:color w:val="1B305C"/>
          <w:sz w:val="36"/>
          <w:szCs w:val="36"/>
        </w:rPr>
      </w:pPr>
      <w:r>
        <w:rPr>
          <w:rStyle w:val="Strong"/>
          <w:rFonts w:ascii="Arial" w:hAnsi="Arial" w:cs="Arial"/>
          <w:color w:val="1B305C"/>
          <w:sz w:val="36"/>
          <w:szCs w:val="36"/>
        </w:rPr>
        <w:t>Community Health Worker Training</w:t>
      </w:r>
    </w:p>
    <w:p w14:paraId="0ECF159E" w14:textId="77777777" w:rsidR="00D81754" w:rsidRDefault="00D81754" w:rsidP="00D81754">
      <w:pPr>
        <w:jc w:val="center"/>
        <w:rPr>
          <w:rFonts w:ascii="Arial" w:hAnsi="Arial" w:cs="Arial"/>
          <w:color w:val="1B305C"/>
          <w:sz w:val="36"/>
          <w:szCs w:val="36"/>
        </w:rPr>
      </w:pPr>
    </w:p>
    <w:p w14:paraId="397CFBCE" w14:textId="52992C93" w:rsidR="00D81754" w:rsidRDefault="00D81754" w:rsidP="00D81754">
      <w:pPr>
        <w:rPr>
          <w:rFonts w:ascii="Verdana" w:hAnsi="Verdana"/>
          <w:color w:val="1B305C"/>
          <w:sz w:val="24"/>
          <w:szCs w:val="24"/>
        </w:rPr>
      </w:pPr>
      <w:r>
        <w:rPr>
          <w:noProof/>
        </w:rPr>
        <w:drawing>
          <wp:anchor distT="47625" distB="47625" distL="47625" distR="47625" simplePos="0" relativeHeight="251663360" behindDoc="0" locked="0" layoutInCell="1" allowOverlap="0" wp14:anchorId="791DDFA4" wp14:editId="5BBF3D22">
            <wp:simplePos x="0" y="0"/>
            <wp:positionH relativeFrom="column">
              <wp:align>right</wp:align>
            </wp:positionH>
            <wp:positionV relativeFrom="line">
              <wp:posOffset>0</wp:posOffset>
            </wp:positionV>
            <wp:extent cx="2066925" cy="137160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66925" cy="137160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olor w:val="1B305C"/>
          <w:sz w:val="24"/>
          <w:szCs w:val="24"/>
        </w:rPr>
        <w:t>Montana ORH/AHEC provides </w:t>
      </w:r>
      <w:r>
        <w:rPr>
          <w:rStyle w:val="Emphasis"/>
          <w:rFonts w:ascii="Verdana" w:hAnsi="Verdana"/>
          <w:color w:val="1B305C"/>
          <w:sz w:val="24"/>
          <w:szCs w:val="24"/>
          <w:u w:val="single"/>
        </w:rPr>
        <w:t>full tuition </w:t>
      </w:r>
    </w:p>
    <w:p w14:paraId="0AD4EA87" w14:textId="77777777" w:rsidR="00D81754" w:rsidRDefault="00D81754" w:rsidP="00D81754">
      <w:pPr>
        <w:rPr>
          <w:rFonts w:ascii="Verdana" w:hAnsi="Verdana"/>
          <w:color w:val="1B305C"/>
          <w:sz w:val="24"/>
          <w:szCs w:val="24"/>
        </w:rPr>
      </w:pPr>
      <w:r>
        <w:rPr>
          <w:rStyle w:val="Emphasis"/>
          <w:rFonts w:ascii="Verdana" w:hAnsi="Verdana"/>
          <w:color w:val="1B305C"/>
          <w:sz w:val="24"/>
          <w:szCs w:val="24"/>
          <w:u w:val="single"/>
        </w:rPr>
        <w:t>reimbursement</w:t>
      </w:r>
      <w:r>
        <w:rPr>
          <w:rFonts w:ascii="Verdana" w:hAnsi="Verdana"/>
          <w:color w:val="1B305C"/>
          <w:sz w:val="24"/>
          <w:szCs w:val="24"/>
        </w:rPr>
        <w:t xml:space="preserve"> for a number of behavioral health trainings, including the Community Health Worker training. The CHW training consists of four online, instructor-lead learning modules (15- hours each), plus a 25-hour supervised experience component. </w:t>
      </w:r>
    </w:p>
    <w:p w14:paraId="2535E49B" w14:textId="77777777" w:rsidR="00D81754" w:rsidRDefault="00D81754" w:rsidP="00D81754">
      <w:pPr>
        <w:rPr>
          <w:rFonts w:ascii="Verdana" w:hAnsi="Verdana"/>
          <w:color w:val="555555"/>
          <w:sz w:val="24"/>
          <w:szCs w:val="24"/>
        </w:rPr>
      </w:pPr>
    </w:p>
    <w:p w14:paraId="1F8FE48E" w14:textId="77777777" w:rsidR="00D81754" w:rsidRDefault="00D81754" w:rsidP="00D81754">
      <w:pPr>
        <w:rPr>
          <w:rFonts w:ascii="Verdana" w:hAnsi="Verdana"/>
          <w:color w:val="555555"/>
          <w:sz w:val="24"/>
          <w:szCs w:val="24"/>
        </w:rPr>
      </w:pPr>
      <w:r>
        <w:rPr>
          <w:rFonts w:ascii="Verdana" w:hAnsi="Verdana"/>
          <w:color w:val="1B305C"/>
          <w:sz w:val="24"/>
          <w:szCs w:val="24"/>
        </w:rPr>
        <w:t>Check out the CHW training library with a number of add-on modules in a variety of topics including: Basics of Diabetes, Adult Mental Health, Geriatric Fall Prevention, Substance Use Disorder, Alzheimer's Disease, and Communication &amp; the Elderly. Modules are continually being added to the library. </w:t>
      </w:r>
    </w:p>
    <w:p w14:paraId="6E3FD1AF" w14:textId="77777777" w:rsidR="00D81754" w:rsidRDefault="00D81754" w:rsidP="00D81754">
      <w:pPr>
        <w:rPr>
          <w:rFonts w:ascii="Verdana" w:hAnsi="Verdana"/>
          <w:color w:val="555555"/>
          <w:sz w:val="24"/>
          <w:szCs w:val="24"/>
        </w:rPr>
      </w:pPr>
    </w:p>
    <w:p w14:paraId="215C05F6" w14:textId="7871953D" w:rsidR="00D81754" w:rsidRDefault="00D81754" w:rsidP="00D81754">
      <w:pPr>
        <w:rPr>
          <w:rFonts w:ascii="Verdana" w:hAnsi="Verdana"/>
          <w:sz w:val="24"/>
          <w:szCs w:val="24"/>
        </w:rPr>
      </w:pPr>
      <w:r>
        <w:rPr>
          <w:rFonts w:ascii="Verdana" w:hAnsi="Verdana"/>
          <w:color w:val="1B305C"/>
          <w:sz w:val="24"/>
          <w:szCs w:val="24"/>
        </w:rPr>
        <w:t>Click</w:t>
      </w:r>
      <w:r>
        <w:rPr>
          <w:rFonts w:ascii="Verdana" w:hAnsi="Verdana"/>
          <w:color w:val="555555"/>
          <w:sz w:val="24"/>
          <w:szCs w:val="24"/>
        </w:rPr>
        <w:t xml:space="preserve"> </w:t>
      </w:r>
      <w:hyperlink r:id="rId12" w:tgtFrame="_blank" w:history="1">
        <w:r>
          <w:rPr>
            <w:rStyle w:val="Hyperlink"/>
            <w:rFonts w:ascii="Verdana" w:hAnsi="Verdana"/>
            <w:color w:val="008000"/>
            <w:sz w:val="24"/>
            <w:szCs w:val="24"/>
          </w:rPr>
          <w:t>here</w:t>
        </w:r>
      </w:hyperlink>
      <w:bookmarkStart w:id="0" w:name="_GoBack"/>
      <w:bookmarkEnd w:id="0"/>
      <w:r>
        <w:rPr>
          <w:rFonts w:ascii="Verdana" w:hAnsi="Verdana"/>
          <w:color w:val="555555"/>
          <w:sz w:val="24"/>
          <w:szCs w:val="24"/>
        </w:rPr>
        <w:t xml:space="preserve"> </w:t>
      </w:r>
      <w:r>
        <w:rPr>
          <w:rFonts w:ascii="Verdana" w:hAnsi="Verdana"/>
          <w:color w:val="1B305C"/>
          <w:sz w:val="24"/>
          <w:szCs w:val="24"/>
        </w:rPr>
        <w:t>to access the CHW training library.</w:t>
      </w:r>
      <w:r>
        <w:rPr>
          <w:rFonts w:ascii="Verdana" w:hAnsi="Verdana"/>
          <w:sz w:val="24"/>
          <w:szCs w:val="24"/>
        </w:rPr>
        <w:t xml:space="preserve"> </w:t>
      </w:r>
    </w:p>
    <w:p w14:paraId="625D6AAF" w14:textId="77777777" w:rsidR="00D81754" w:rsidRDefault="00D81754" w:rsidP="00D81754"/>
    <w:p w14:paraId="34D29DE2" w14:textId="5CF5E65F" w:rsidR="00D81754" w:rsidRDefault="00D81754" w:rsidP="00D81754">
      <w:pPr>
        <w:rPr>
          <w:rFonts w:ascii="Verdana" w:hAnsi="Verdana"/>
          <w:sz w:val="24"/>
          <w:szCs w:val="24"/>
        </w:rPr>
      </w:pPr>
      <w:r>
        <w:rPr>
          <w:rFonts w:ascii="Verdana" w:hAnsi="Verdana"/>
          <w:color w:val="002060"/>
          <w:sz w:val="24"/>
          <w:szCs w:val="24"/>
        </w:rPr>
        <w:t>Apprenticeship Option – to learn more about a Community Health Worker apprenticeship, please email </w:t>
      </w:r>
      <w:hyperlink r:id="rId13" w:history="1">
        <w:r>
          <w:rPr>
            <w:rStyle w:val="Hyperlink"/>
            <w:rFonts w:ascii="Verdana" w:hAnsi="Verdana"/>
            <w:sz w:val="24"/>
            <w:szCs w:val="24"/>
          </w:rPr>
          <w:t>apprenticeship@mt.gov</w:t>
        </w:r>
      </w:hyperlink>
      <w:r>
        <w:rPr>
          <w:rFonts w:ascii="Verdana" w:hAnsi="Verdana"/>
          <w:sz w:val="24"/>
          <w:szCs w:val="24"/>
        </w:rPr>
        <w:t> </w:t>
      </w:r>
      <w:r>
        <w:rPr>
          <w:rFonts w:ascii="Verdana" w:hAnsi="Verdana"/>
          <w:color w:val="002060"/>
          <w:sz w:val="24"/>
          <w:szCs w:val="24"/>
        </w:rPr>
        <w:t>or call 406-444-4100</w:t>
      </w:r>
    </w:p>
    <w:p w14:paraId="0EFFA692" w14:textId="77777777" w:rsidR="00D81754" w:rsidRDefault="00D81754" w:rsidP="00D81754">
      <w:pPr>
        <w:rPr>
          <w:rFonts w:ascii="Verdana" w:hAnsi="Verdana"/>
          <w:color w:val="555555"/>
          <w:sz w:val="24"/>
          <w:szCs w:val="24"/>
        </w:rPr>
      </w:pPr>
    </w:p>
    <w:p w14:paraId="1D8E16DC" w14:textId="44234300" w:rsidR="00D81754" w:rsidRDefault="00D81754" w:rsidP="00D81754">
      <w:pPr>
        <w:rPr>
          <w:rFonts w:ascii="Arial" w:hAnsi="Arial" w:cs="Arial"/>
          <w:color w:val="555555"/>
          <w:sz w:val="24"/>
          <w:szCs w:val="24"/>
        </w:rPr>
      </w:pPr>
      <w:r>
        <w:rPr>
          <w:rFonts w:ascii="Verdana" w:hAnsi="Verdana"/>
          <w:color w:val="1B305C"/>
          <w:sz w:val="24"/>
          <w:szCs w:val="24"/>
        </w:rPr>
        <w:t>For more information on available behavioral health trainings, visit:</w:t>
      </w:r>
      <w:r>
        <w:rPr>
          <w:rFonts w:ascii="Arial" w:hAnsi="Arial" w:cs="Arial"/>
          <w:color w:val="555555"/>
          <w:sz w:val="24"/>
          <w:szCs w:val="24"/>
        </w:rPr>
        <w:t xml:space="preserve"> </w:t>
      </w:r>
      <w:hyperlink r:id="rId14" w:tgtFrame="_blank" w:history="1">
        <w:r>
          <w:rPr>
            <w:rStyle w:val="Hyperlink"/>
            <w:rFonts w:ascii="Verdana" w:hAnsi="Verdana" w:cs="Arial"/>
            <w:color w:val="008000"/>
            <w:sz w:val="24"/>
            <w:szCs w:val="24"/>
          </w:rPr>
          <w:t>healthinfo.montana.edu</w:t>
        </w:r>
      </w:hyperlink>
    </w:p>
    <w:p w14:paraId="17CE3676" w14:textId="5D0C1014" w:rsidR="00D81754" w:rsidRDefault="00D81754" w:rsidP="00D81754">
      <w:pPr>
        <w:jc w:val="center"/>
        <w:rPr>
          <w:rFonts w:ascii="Arial" w:hAnsi="Arial" w:cs="Arial"/>
          <w:color w:val="555555"/>
          <w:sz w:val="24"/>
          <w:szCs w:val="24"/>
        </w:rPr>
      </w:pPr>
    </w:p>
    <w:p w14:paraId="32D1A67C" w14:textId="2FECA702" w:rsidR="00D81754" w:rsidRDefault="00D81754" w:rsidP="00D81754">
      <w:pPr>
        <w:jc w:val="center"/>
        <w:rPr>
          <w:rFonts w:ascii="Arial" w:hAnsi="Arial" w:cs="Arial"/>
          <w:color w:val="555555"/>
          <w:sz w:val="24"/>
          <w:szCs w:val="24"/>
        </w:rPr>
      </w:pPr>
    </w:p>
    <w:p w14:paraId="24CFC7E7" w14:textId="5234AA08" w:rsidR="00D81754" w:rsidRDefault="00D81754" w:rsidP="00D81754">
      <w:pPr>
        <w:jc w:val="center"/>
        <w:rPr>
          <w:rFonts w:ascii="Arial" w:hAnsi="Arial" w:cs="Arial"/>
          <w:color w:val="555555"/>
          <w:sz w:val="24"/>
          <w:szCs w:val="24"/>
        </w:rPr>
      </w:pPr>
    </w:p>
    <w:p w14:paraId="496BC8D3" w14:textId="47043146" w:rsidR="00D81754" w:rsidRDefault="00D81754" w:rsidP="00D81754">
      <w:pPr>
        <w:jc w:val="center"/>
        <w:rPr>
          <w:rFonts w:ascii="Arial" w:hAnsi="Arial" w:cs="Arial"/>
          <w:color w:val="555555"/>
          <w:sz w:val="24"/>
          <w:szCs w:val="24"/>
        </w:rPr>
      </w:pPr>
    </w:p>
    <w:p w14:paraId="06E3367B" w14:textId="55ADBD50" w:rsidR="00D81754" w:rsidRDefault="00D81754" w:rsidP="00D81754">
      <w:pPr>
        <w:jc w:val="center"/>
        <w:rPr>
          <w:rFonts w:ascii="Arial" w:hAnsi="Arial" w:cs="Arial"/>
          <w:color w:val="555555"/>
          <w:sz w:val="24"/>
          <w:szCs w:val="24"/>
        </w:rPr>
      </w:pPr>
    </w:p>
    <w:p w14:paraId="05447B7C" w14:textId="2F41FA39" w:rsidR="00D81754" w:rsidRDefault="00D81754" w:rsidP="00D81754">
      <w:pPr>
        <w:jc w:val="center"/>
        <w:rPr>
          <w:rFonts w:ascii="Arial" w:hAnsi="Arial" w:cs="Arial"/>
          <w:color w:val="555555"/>
          <w:sz w:val="24"/>
          <w:szCs w:val="24"/>
        </w:rPr>
      </w:pPr>
    </w:p>
    <w:p w14:paraId="11291CB3" w14:textId="713EB725" w:rsidR="00D81754" w:rsidRDefault="00D81754" w:rsidP="00D81754">
      <w:pPr>
        <w:jc w:val="center"/>
        <w:rPr>
          <w:rFonts w:ascii="Arial" w:hAnsi="Arial" w:cs="Arial"/>
          <w:color w:val="555555"/>
          <w:sz w:val="24"/>
          <w:szCs w:val="24"/>
        </w:rPr>
      </w:pPr>
    </w:p>
    <w:p w14:paraId="00A9ECB2" w14:textId="77777777" w:rsidR="00D81754" w:rsidRDefault="00D81754" w:rsidP="00D81754">
      <w:pPr>
        <w:rPr>
          <w:rFonts w:ascii="Arial" w:hAnsi="Arial" w:cs="Arial"/>
          <w:color w:val="555555"/>
          <w:sz w:val="24"/>
          <w:szCs w:val="24"/>
        </w:rPr>
      </w:pPr>
    </w:p>
    <w:p w14:paraId="51CB060A" w14:textId="74B38692" w:rsidR="00D81754" w:rsidRDefault="00D81754" w:rsidP="00D81754">
      <w:pPr>
        <w:jc w:val="center"/>
        <w:rPr>
          <w:rFonts w:ascii="Arial" w:hAnsi="Arial" w:cs="Arial"/>
          <w:color w:val="555555"/>
          <w:sz w:val="24"/>
          <w:szCs w:val="24"/>
        </w:rPr>
      </w:pPr>
    </w:p>
    <w:p w14:paraId="4A502107" w14:textId="77777777" w:rsidR="00D81754" w:rsidRDefault="00D81754" w:rsidP="00D81754">
      <w:pPr>
        <w:spacing w:line="15" w:lineRule="atLeast"/>
        <w:jc w:val="center"/>
      </w:pPr>
      <w:r>
        <w:rPr>
          <w:noProof/>
          <w:color w:val="000000"/>
        </w:rPr>
        <w:drawing>
          <wp:inline distT="0" distB="0" distL="0" distR="0" wp14:anchorId="7F0FF4B0" wp14:editId="222AFA67">
            <wp:extent cx="47625" cy="9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p w14:paraId="345C920A" w14:textId="77777777" w:rsidR="00D81754" w:rsidRDefault="00D81754" w:rsidP="00D81754">
      <w:pPr>
        <w:jc w:val="center"/>
        <w:rPr>
          <w:rFonts w:ascii="Verdana" w:hAnsi="Verdana"/>
          <w:color w:val="1B305C"/>
          <w:sz w:val="32"/>
          <w:szCs w:val="32"/>
        </w:rPr>
      </w:pPr>
      <w:r>
        <w:rPr>
          <w:rStyle w:val="Strong"/>
          <w:rFonts w:ascii="Verdana" w:hAnsi="Verdana"/>
          <w:color w:val="1B305C"/>
          <w:sz w:val="32"/>
          <w:szCs w:val="32"/>
        </w:rPr>
        <w:t>Reimbursement for Services </w:t>
      </w:r>
    </w:p>
    <w:p w14:paraId="5E5B6A5D" w14:textId="77777777" w:rsidR="00D81754" w:rsidRDefault="00D81754" w:rsidP="00D81754">
      <w:pPr>
        <w:jc w:val="center"/>
        <w:rPr>
          <w:rFonts w:ascii="Verdana" w:hAnsi="Verdana"/>
          <w:color w:val="1B305C"/>
          <w:sz w:val="24"/>
          <w:szCs w:val="24"/>
        </w:rPr>
      </w:pPr>
    </w:p>
    <w:p w14:paraId="740C5EBA" w14:textId="33D5DA86" w:rsidR="00D81754" w:rsidRDefault="00D81754" w:rsidP="00D81754">
      <w:pPr>
        <w:rPr>
          <w:rFonts w:ascii="Verdana" w:hAnsi="Verdana"/>
          <w:color w:val="1B305C"/>
          <w:sz w:val="24"/>
          <w:szCs w:val="24"/>
        </w:rPr>
      </w:pPr>
      <w:r>
        <w:rPr>
          <w:noProof/>
        </w:rPr>
        <w:drawing>
          <wp:anchor distT="95250" distB="95250" distL="95250" distR="95250" simplePos="0" relativeHeight="251665408" behindDoc="0" locked="0" layoutInCell="1" allowOverlap="0" wp14:anchorId="71E68A82" wp14:editId="274C43E8">
            <wp:simplePos x="0" y="0"/>
            <wp:positionH relativeFrom="column">
              <wp:align>left</wp:align>
            </wp:positionH>
            <wp:positionV relativeFrom="line">
              <wp:posOffset>0</wp:posOffset>
            </wp:positionV>
            <wp:extent cx="1676400" cy="1171575"/>
            <wp:effectExtent l="0" t="0" r="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676400" cy="117157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olor w:val="1B305C"/>
          <w:sz w:val="24"/>
          <w:szCs w:val="24"/>
        </w:rPr>
        <w:t>The million dollar question when the topic of utilizing Community Health Workers comes up: "How do we pay for them?"</w:t>
      </w:r>
    </w:p>
    <w:p w14:paraId="199B09D2" w14:textId="77777777" w:rsidR="00D81754" w:rsidRDefault="00D81754" w:rsidP="00D81754">
      <w:pPr>
        <w:rPr>
          <w:rFonts w:ascii="Verdana" w:hAnsi="Verdana"/>
          <w:color w:val="1B305C"/>
          <w:sz w:val="24"/>
          <w:szCs w:val="24"/>
        </w:rPr>
      </w:pPr>
      <w:r>
        <w:rPr>
          <w:rFonts w:ascii="Verdana" w:hAnsi="Verdana"/>
          <w:color w:val="1B305C"/>
          <w:sz w:val="24"/>
          <w:szCs w:val="24"/>
        </w:rPr>
        <w:t>Programs across the nation are struggling with this very question. Many are using grant funds and hoping to work their way into a sustainable model. Some have worked them into their operating budgets as they have seen the cost savings firsthand while employing CHWs.</w:t>
      </w:r>
    </w:p>
    <w:p w14:paraId="6BD487B1" w14:textId="77777777" w:rsidR="00D81754" w:rsidRDefault="00D81754" w:rsidP="00D81754">
      <w:pPr>
        <w:rPr>
          <w:rFonts w:ascii="Verdana" w:hAnsi="Verdana"/>
          <w:color w:val="1B305C"/>
          <w:sz w:val="24"/>
          <w:szCs w:val="24"/>
        </w:rPr>
      </w:pPr>
    </w:p>
    <w:p w14:paraId="263E802F" w14:textId="453F47CC" w:rsidR="00D81754" w:rsidRPr="00D81754" w:rsidRDefault="00D81754" w:rsidP="00D81754">
      <w:pPr>
        <w:rPr>
          <w:rFonts w:ascii="Verdana" w:hAnsi="Verdana"/>
          <w:color w:val="1B305C"/>
          <w:sz w:val="24"/>
          <w:szCs w:val="24"/>
        </w:rPr>
      </w:pPr>
      <w:r>
        <w:rPr>
          <w:rFonts w:ascii="Verdana" w:hAnsi="Verdana"/>
          <w:color w:val="1B305C"/>
          <w:sz w:val="24"/>
          <w:szCs w:val="24"/>
        </w:rPr>
        <w:t>At this time there are three reimbursement codes that are recognized globally for CHW service:</w:t>
      </w:r>
    </w:p>
    <w:p w14:paraId="5437CD45" w14:textId="77777777" w:rsidR="00D81754" w:rsidRDefault="00D81754" w:rsidP="00D81754">
      <w:pPr>
        <w:spacing w:line="15" w:lineRule="atLeast"/>
        <w:jc w:val="center"/>
      </w:pPr>
      <w:r>
        <w:rPr>
          <w:noProof/>
          <w:color w:val="000000"/>
        </w:rPr>
        <w:drawing>
          <wp:inline distT="0" distB="0" distL="0" distR="0" wp14:anchorId="7BCAAD59" wp14:editId="29693501">
            <wp:extent cx="47625" cy="9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p w14:paraId="42D4F128" w14:textId="77777777" w:rsidR="00D81754" w:rsidRDefault="00D81754" w:rsidP="00D81754">
      <w:pPr>
        <w:numPr>
          <w:ilvl w:val="0"/>
          <w:numId w:val="1"/>
        </w:numPr>
        <w:spacing w:before="100" w:beforeAutospacing="1" w:after="100" w:afterAutospacing="1"/>
        <w:rPr>
          <w:rFonts w:ascii="Verdana" w:eastAsia="Times New Roman" w:hAnsi="Verdana"/>
          <w:color w:val="1B305C"/>
          <w:sz w:val="20"/>
          <w:szCs w:val="20"/>
        </w:rPr>
      </w:pPr>
      <w:r>
        <w:rPr>
          <w:rFonts w:ascii="Verdana" w:eastAsia="Times New Roman" w:hAnsi="Verdana"/>
          <w:color w:val="1B305C"/>
          <w:sz w:val="24"/>
          <w:szCs w:val="24"/>
        </w:rPr>
        <w:t>CPT: 98960</w:t>
      </w:r>
      <w:r>
        <w:rPr>
          <w:rFonts w:ascii="Verdana" w:eastAsia="Times New Roman" w:hAnsi="Verdana"/>
          <w:color w:val="1B305C"/>
          <w:sz w:val="20"/>
          <w:szCs w:val="20"/>
        </w:rPr>
        <w:t xml:space="preserve"> - Education and training for patient self-management by a qualified, non-physician health care professional using a standardized curriculum, face-to-face with the patient (could include caregiver/family) each 30 minutes; individual patient</w:t>
      </w:r>
    </w:p>
    <w:p w14:paraId="7E3468BD" w14:textId="77777777" w:rsidR="00D81754" w:rsidRDefault="00D81754" w:rsidP="00D81754">
      <w:pPr>
        <w:numPr>
          <w:ilvl w:val="0"/>
          <w:numId w:val="2"/>
        </w:numPr>
        <w:spacing w:before="100" w:beforeAutospacing="1" w:after="100" w:afterAutospacing="1"/>
        <w:rPr>
          <w:rFonts w:ascii="Verdana" w:eastAsia="Times New Roman" w:hAnsi="Verdana"/>
          <w:color w:val="1B305C"/>
          <w:sz w:val="20"/>
          <w:szCs w:val="20"/>
        </w:rPr>
      </w:pPr>
      <w:r>
        <w:rPr>
          <w:rFonts w:ascii="Verdana" w:eastAsia="Times New Roman" w:hAnsi="Verdana"/>
          <w:color w:val="1B305C"/>
          <w:sz w:val="24"/>
          <w:szCs w:val="24"/>
        </w:rPr>
        <w:t>CPT: 98961</w:t>
      </w:r>
      <w:r>
        <w:rPr>
          <w:rFonts w:ascii="Verdana" w:eastAsia="Times New Roman" w:hAnsi="Verdana"/>
          <w:color w:val="1B305C"/>
          <w:sz w:val="20"/>
          <w:szCs w:val="20"/>
        </w:rPr>
        <w:t xml:space="preserve"> - Education and training for patient self-management by a qualified, non-physician health care professional using a standardized curriculum, face-to-face with the patient (could include caregiver/family) each 30 minutes; 2-4 patients</w:t>
      </w:r>
    </w:p>
    <w:p w14:paraId="3BA3195D" w14:textId="77777777" w:rsidR="00D81754" w:rsidRDefault="00D81754" w:rsidP="00D81754">
      <w:pPr>
        <w:numPr>
          <w:ilvl w:val="0"/>
          <w:numId w:val="3"/>
        </w:numPr>
        <w:spacing w:before="100" w:beforeAutospacing="1" w:after="100" w:afterAutospacing="1"/>
        <w:rPr>
          <w:rFonts w:ascii="Verdana" w:eastAsia="Times New Roman" w:hAnsi="Verdana"/>
          <w:color w:val="1B305C"/>
          <w:sz w:val="20"/>
          <w:szCs w:val="20"/>
        </w:rPr>
      </w:pPr>
      <w:r>
        <w:rPr>
          <w:rFonts w:ascii="Verdana" w:eastAsia="Times New Roman" w:hAnsi="Verdana"/>
          <w:color w:val="1B305C"/>
          <w:sz w:val="24"/>
          <w:szCs w:val="24"/>
        </w:rPr>
        <w:t>CPT: 98962</w:t>
      </w:r>
      <w:r>
        <w:rPr>
          <w:rFonts w:ascii="Verdana" w:eastAsia="Times New Roman" w:hAnsi="Verdana"/>
          <w:color w:val="1B305C"/>
          <w:sz w:val="20"/>
          <w:szCs w:val="20"/>
        </w:rPr>
        <w:t xml:space="preserve"> - Education and training for patient self-management by a qualified, non-physician health care professional using a standardized curriculum, face-to-face with the patient (could include caregiver/family) each 30 minutes; 5-8 patients</w:t>
      </w:r>
    </w:p>
    <w:p w14:paraId="7B10E49D" w14:textId="77777777" w:rsidR="00D81754" w:rsidRDefault="00D81754" w:rsidP="00D81754">
      <w:pPr>
        <w:rPr>
          <w:rFonts w:ascii="Arial" w:hAnsi="Arial" w:cs="Arial"/>
          <w:sz w:val="24"/>
          <w:szCs w:val="24"/>
        </w:rPr>
      </w:pPr>
      <w:r>
        <w:rPr>
          <w:rFonts w:ascii="Arial" w:hAnsi="Arial" w:cs="Arial"/>
          <w:color w:val="1B305C"/>
          <w:sz w:val="24"/>
          <w:szCs w:val="24"/>
        </w:rPr>
        <w:t>MORH/AHEC is working hard to come up with solutions to this very question for organizations that want to employ Community Health Workers. For more information on these efforts, or if you would like to share how your organization is paying for CHW services, please contact: Beth Ann</w:t>
      </w:r>
      <w:r>
        <w:rPr>
          <w:rFonts w:ascii="Arial" w:hAnsi="Arial" w:cs="Arial"/>
          <w:sz w:val="24"/>
          <w:szCs w:val="24"/>
        </w:rPr>
        <w:t xml:space="preserve"> </w:t>
      </w:r>
      <w:r>
        <w:rPr>
          <w:rFonts w:ascii="Arial" w:hAnsi="Arial" w:cs="Arial"/>
          <w:color w:val="002060"/>
          <w:sz w:val="24"/>
          <w:szCs w:val="24"/>
        </w:rPr>
        <w:t>Carter</w:t>
      </w:r>
    </w:p>
    <w:p w14:paraId="677D09FA" w14:textId="19D08FE8" w:rsidR="00D81754" w:rsidRDefault="00B37227" w:rsidP="00D81754">
      <w:pPr>
        <w:jc w:val="center"/>
        <w:rPr>
          <w:rFonts w:ascii="Arial" w:hAnsi="Arial" w:cs="Arial"/>
          <w:color w:val="1B305C"/>
          <w:sz w:val="24"/>
          <w:szCs w:val="24"/>
        </w:rPr>
      </w:pPr>
      <w:hyperlink r:id="rId16" w:history="1">
        <w:r w:rsidR="00D81754">
          <w:rPr>
            <w:rStyle w:val="Hyperlink"/>
            <w:rFonts w:ascii="Arial" w:hAnsi="Arial" w:cs="Arial"/>
            <w:sz w:val="24"/>
            <w:szCs w:val="24"/>
          </w:rPr>
          <w:t>beth.carter@montana.edu</w:t>
        </w:r>
      </w:hyperlink>
      <w:r w:rsidR="00D81754">
        <w:rPr>
          <w:rFonts w:ascii="Arial" w:hAnsi="Arial" w:cs="Arial"/>
          <w:color w:val="1B305C"/>
          <w:sz w:val="24"/>
          <w:szCs w:val="24"/>
        </w:rPr>
        <w:t> or 406.925.1261</w:t>
      </w:r>
    </w:p>
    <w:p w14:paraId="5052EB8B" w14:textId="77777777" w:rsidR="00D81754" w:rsidRDefault="00D81754" w:rsidP="00D81754">
      <w:pPr>
        <w:jc w:val="cente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D81754" w14:paraId="6D5A5A00" w14:textId="77777777" w:rsidTr="00D81754">
        <w:trPr>
          <w:trHeight w:val="15"/>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D81754" w14:paraId="12A3FADA" w14:textId="77777777">
              <w:trPr>
                <w:trHeight w:val="15"/>
                <w:tblCellSpacing w:w="0" w:type="dxa"/>
              </w:trPr>
              <w:tc>
                <w:tcPr>
                  <w:tcW w:w="0" w:type="auto"/>
                  <w:shd w:val="clear" w:color="auto" w:fill="FFB966"/>
                  <w:tcMar>
                    <w:top w:w="0" w:type="dxa"/>
                    <w:left w:w="0" w:type="dxa"/>
                    <w:bottom w:w="135" w:type="dxa"/>
                    <w:right w:w="0" w:type="dxa"/>
                  </w:tcMar>
                  <w:vAlign w:val="center"/>
                  <w:hideMark/>
                </w:tcPr>
                <w:p w14:paraId="182305D8" w14:textId="3BF4CC66" w:rsidR="00D81754" w:rsidRDefault="00D81754">
                  <w:pPr>
                    <w:spacing w:line="15" w:lineRule="atLeast"/>
                    <w:jc w:val="center"/>
                  </w:pPr>
                  <w:r>
                    <w:rPr>
                      <w:noProof/>
                      <w:color w:val="000000"/>
                    </w:rPr>
                    <w:drawing>
                      <wp:inline distT="0" distB="0" distL="0" distR="0" wp14:anchorId="79C9DDE7" wp14:editId="62FDC17D">
                        <wp:extent cx="47625" cy="95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37DB2655" w14:textId="77777777" w:rsidR="00D81754" w:rsidRDefault="00D81754">
            <w:pPr>
              <w:rPr>
                <w:rFonts w:ascii="Times New Roman" w:eastAsia="Times New Roman" w:hAnsi="Times New Roman" w:cs="Times New Roman"/>
                <w:sz w:val="20"/>
                <w:szCs w:val="20"/>
              </w:rPr>
            </w:pPr>
          </w:p>
        </w:tc>
      </w:tr>
    </w:tbl>
    <w:p w14:paraId="3E3BAB02" w14:textId="77777777" w:rsidR="00D81754" w:rsidRDefault="00D81754" w:rsidP="00D8175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D81754" w14:paraId="583F3775" w14:textId="77777777" w:rsidTr="00D81754">
        <w:trPr>
          <w:trHeight w:val="20"/>
          <w:tblCellSpacing w:w="0" w:type="dxa"/>
          <w:jc w:val="center"/>
        </w:trPr>
        <w:tc>
          <w:tcPr>
            <w:tcW w:w="0" w:type="auto"/>
            <w:tcMar>
              <w:top w:w="120" w:type="dxa"/>
              <w:left w:w="480" w:type="dxa"/>
              <w:bottom w:w="135" w:type="dxa"/>
              <w:right w:w="480" w:type="dxa"/>
            </w:tcMar>
          </w:tcPr>
          <w:p w14:paraId="2407BF36" w14:textId="7C662AB0" w:rsidR="00D81754" w:rsidRDefault="00D81754" w:rsidP="00D81754">
            <w:pPr>
              <w:rPr>
                <w:rFonts w:ascii="Verdana" w:hAnsi="Verdana"/>
                <w:color w:val="1B305C"/>
                <w:sz w:val="24"/>
                <w:szCs w:val="24"/>
              </w:rPr>
            </w:pPr>
          </w:p>
        </w:tc>
      </w:tr>
    </w:tbl>
    <w:p w14:paraId="71AE9322" w14:textId="611D273E" w:rsidR="00D81754" w:rsidRPr="00D81754" w:rsidRDefault="00D81754" w:rsidP="00D81754">
      <w:pPr>
        <w:jc w:val="center"/>
        <w:rPr>
          <w:rFonts w:ascii="Arial" w:hAnsi="Arial" w:cs="Arial"/>
          <w:color w:val="1B305C"/>
          <w:sz w:val="28"/>
          <w:szCs w:val="28"/>
        </w:rPr>
      </w:pPr>
      <w:r>
        <w:rPr>
          <w:rStyle w:val="Strong"/>
          <w:rFonts w:ascii="Verdana" w:hAnsi="Verdana"/>
          <w:color w:val="1B305C"/>
          <w:sz w:val="28"/>
          <w:szCs w:val="28"/>
        </w:rPr>
        <w:t>Montana Community Health Worker Association</w:t>
      </w:r>
      <w:r>
        <w:rPr>
          <w:rFonts w:ascii="Verdana" w:hAnsi="Verdana"/>
          <w:color w:val="1B305C"/>
          <w:sz w:val="32"/>
          <w:szCs w:val="32"/>
        </w:rPr>
        <w:br/>
      </w:r>
    </w:p>
    <w:p w14:paraId="514F6088" w14:textId="54845D9A" w:rsidR="00D81754" w:rsidRDefault="00D81754" w:rsidP="00D81754">
      <w:pPr>
        <w:rPr>
          <w:rFonts w:ascii="Verdana" w:hAnsi="Verdana"/>
          <w:color w:val="1B305C"/>
          <w:sz w:val="24"/>
          <w:szCs w:val="24"/>
        </w:rPr>
      </w:pPr>
      <w:r>
        <w:rPr>
          <w:rFonts w:ascii="Verdana" w:hAnsi="Verdana"/>
          <w:color w:val="1B305C"/>
          <w:sz w:val="24"/>
          <w:szCs w:val="24"/>
        </w:rPr>
        <w:t>If you know a CHW or are yourself one, please let us know!</w:t>
      </w:r>
    </w:p>
    <w:p w14:paraId="6D3731DF" w14:textId="7507CEE9" w:rsidR="00D81754" w:rsidRDefault="00D81754" w:rsidP="00D81754">
      <w:pPr>
        <w:rPr>
          <w:rFonts w:ascii="Verdana" w:hAnsi="Verdana"/>
          <w:color w:val="1B305C"/>
          <w:sz w:val="24"/>
          <w:szCs w:val="24"/>
        </w:rPr>
      </w:pPr>
      <w:r>
        <w:rPr>
          <w:noProof/>
        </w:rPr>
        <w:drawing>
          <wp:anchor distT="95250" distB="95250" distL="95250" distR="95250" simplePos="0" relativeHeight="251667456" behindDoc="0" locked="0" layoutInCell="1" allowOverlap="0" wp14:anchorId="775B1CA6" wp14:editId="4799A50C">
            <wp:simplePos x="0" y="0"/>
            <wp:positionH relativeFrom="margin">
              <wp:align>left</wp:align>
            </wp:positionH>
            <wp:positionV relativeFrom="paragraph">
              <wp:posOffset>10160</wp:posOffset>
            </wp:positionV>
            <wp:extent cx="1714500" cy="1381125"/>
            <wp:effectExtent l="0" t="0" r="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714500" cy="1381125"/>
                    </a:xfrm>
                    <a:prstGeom prst="rect">
                      <a:avLst/>
                    </a:prstGeom>
                    <a:noFill/>
                  </pic:spPr>
                </pic:pic>
              </a:graphicData>
            </a:graphic>
            <wp14:sizeRelH relativeFrom="page">
              <wp14:pctWidth>0</wp14:pctWidth>
            </wp14:sizeRelH>
            <wp14:sizeRelV relativeFrom="page">
              <wp14:pctHeight>0</wp14:pctHeight>
            </wp14:sizeRelV>
          </wp:anchor>
        </w:drawing>
      </w:r>
    </w:p>
    <w:p w14:paraId="79812A80" w14:textId="77777777" w:rsidR="00D81754" w:rsidRDefault="00D81754" w:rsidP="00D81754">
      <w:pPr>
        <w:rPr>
          <w:rFonts w:ascii="Verdana" w:hAnsi="Verdana"/>
          <w:color w:val="1B305C"/>
          <w:sz w:val="24"/>
          <w:szCs w:val="24"/>
        </w:rPr>
      </w:pPr>
      <w:r>
        <w:rPr>
          <w:rFonts w:ascii="Verdana" w:hAnsi="Verdana"/>
          <w:color w:val="1B305C"/>
          <w:sz w:val="24"/>
          <w:szCs w:val="24"/>
        </w:rPr>
        <w:t>We are in the beginning stages of establishing Montana's first CHW Association and want to keep Montana's CHWs up-to-date on the Association, trainings, conferences, and other important items pertaining to CHWs.</w:t>
      </w:r>
    </w:p>
    <w:p w14:paraId="6B485F51" w14:textId="77777777" w:rsidR="00D81754" w:rsidRDefault="00D81754" w:rsidP="00D81754">
      <w:pPr>
        <w:rPr>
          <w:rFonts w:ascii="Verdana" w:hAnsi="Verdana"/>
          <w:color w:val="1B305C"/>
          <w:sz w:val="24"/>
          <w:szCs w:val="24"/>
        </w:rPr>
      </w:pPr>
    </w:p>
    <w:p w14:paraId="46C51820" w14:textId="3239B19C" w:rsidR="00D81754" w:rsidRDefault="00D81754" w:rsidP="00D81754">
      <w:pPr>
        <w:rPr>
          <w:rFonts w:ascii="Verdana" w:hAnsi="Verdana"/>
          <w:color w:val="1B305C"/>
          <w:sz w:val="24"/>
          <w:szCs w:val="24"/>
        </w:rPr>
      </w:pPr>
      <w:r>
        <w:rPr>
          <w:rFonts w:ascii="Verdana" w:hAnsi="Verdana"/>
          <w:color w:val="1B305C"/>
          <w:sz w:val="24"/>
          <w:szCs w:val="24"/>
        </w:rPr>
        <w:t xml:space="preserve">Please contact Beth Ann Carter for more information and to be put on the email list. </w:t>
      </w:r>
      <w:hyperlink r:id="rId18" w:tgtFrame="_blank" w:history="1">
        <w:r>
          <w:rPr>
            <w:rStyle w:val="Hyperlink"/>
            <w:rFonts w:ascii="Verdana" w:hAnsi="Verdana"/>
            <w:color w:val="008000"/>
            <w:sz w:val="24"/>
            <w:szCs w:val="24"/>
          </w:rPr>
          <w:t>beth.carter@montana.edu</w:t>
        </w:r>
      </w:hyperlink>
      <w:r>
        <w:rPr>
          <w:rFonts w:ascii="Verdana" w:hAnsi="Verdana"/>
          <w:color w:val="1B305C"/>
          <w:sz w:val="24"/>
          <w:szCs w:val="24"/>
        </w:rPr>
        <w:t>  406.925.1261</w:t>
      </w:r>
    </w:p>
    <w:p w14:paraId="6A5F8111" w14:textId="6CE74962" w:rsidR="00D81754" w:rsidRDefault="00D81754" w:rsidP="00D81754"/>
    <w:p w14:paraId="7FF71721" w14:textId="22E8F503" w:rsidR="00D81754" w:rsidRDefault="00D81754" w:rsidP="00D81754">
      <w:pPr>
        <w:rPr>
          <w:vanish/>
        </w:rPr>
      </w:pPr>
      <w:r>
        <w:rPr>
          <w:rFonts w:ascii="Arial" w:hAnsi="Arial" w:cs="Arial"/>
          <w:noProof/>
          <w:color w:val="1A191A"/>
          <w:sz w:val="18"/>
          <w:szCs w:val="18"/>
        </w:rPr>
        <w:drawing>
          <wp:anchor distT="0" distB="0" distL="114300" distR="114300" simplePos="0" relativeHeight="251668480" behindDoc="0" locked="0" layoutInCell="1" allowOverlap="1" wp14:anchorId="2C051718" wp14:editId="7EDBD8DF">
            <wp:simplePos x="0" y="0"/>
            <wp:positionH relativeFrom="margin">
              <wp:align>center</wp:align>
            </wp:positionH>
            <wp:positionV relativeFrom="paragraph">
              <wp:posOffset>413385</wp:posOffset>
            </wp:positionV>
            <wp:extent cx="4562475" cy="658049"/>
            <wp:effectExtent l="0" t="0" r="0" b="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62475" cy="65804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vanish/>
        </w:rPr>
        <w:drawing>
          <wp:inline distT="0" distB="0" distL="0" distR="0" wp14:anchorId="5FC8B6D1" wp14:editId="56123938">
            <wp:extent cx="3971290" cy="5810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71290" cy="581025"/>
                    </a:xfrm>
                    <a:prstGeom prst="rect">
                      <a:avLst/>
                    </a:prstGeom>
                    <a:noFill/>
                  </pic:spPr>
                </pic:pic>
              </a:graphicData>
            </a:graphic>
          </wp:inline>
        </w:drawing>
      </w:r>
    </w:p>
    <w:p w14:paraId="21E869A3" w14:textId="13B30DCA" w:rsidR="00D81754" w:rsidRPr="00D81754" w:rsidRDefault="00D81754" w:rsidP="00D81754"/>
    <w:sectPr w:rsidR="00D81754" w:rsidRPr="00D81754" w:rsidSect="00D817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E263C"/>
    <w:multiLevelType w:val="multilevel"/>
    <w:tmpl w:val="092C2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9A7AA1"/>
    <w:multiLevelType w:val="multilevel"/>
    <w:tmpl w:val="A4946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DC3CE0"/>
    <w:multiLevelType w:val="multilevel"/>
    <w:tmpl w:val="34448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754"/>
    <w:rsid w:val="00B37227"/>
    <w:rsid w:val="00D81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41EF6"/>
  <w15:chartTrackingRefBased/>
  <w15:docId w15:val="{86BA0137-DFD3-4BB3-AE31-51F45D36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75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1754"/>
    <w:rPr>
      <w:b/>
      <w:bCs/>
    </w:rPr>
  </w:style>
  <w:style w:type="character" w:styleId="Hyperlink">
    <w:name w:val="Hyperlink"/>
    <w:basedOn w:val="DefaultParagraphFont"/>
    <w:uiPriority w:val="99"/>
    <w:semiHidden/>
    <w:unhideWhenUsed/>
    <w:rsid w:val="00D81754"/>
    <w:rPr>
      <w:color w:val="0000FF"/>
      <w:u w:val="single"/>
    </w:rPr>
  </w:style>
  <w:style w:type="character" w:styleId="Emphasis">
    <w:name w:val="Emphasis"/>
    <w:basedOn w:val="DefaultParagraphFont"/>
    <w:uiPriority w:val="20"/>
    <w:qFormat/>
    <w:rsid w:val="00D817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11255">
      <w:bodyDiv w:val="1"/>
      <w:marLeft w:val="0"/>
      <w:marRight w:val="0"/>
      <w:marTop w:val="0"/>
      <w:marBottom w:val="0"/>
      <w:divBdr>
        <w:top w:val="none" w:sz="0" w:space="0" w:color="auto"/>
        <w:left w:val="none" w:sz="0" w:space="0" w:color="auto"/>
        <w:bottom w:val="none" w:sz="0" w:space="0" w:color="auto"/>
        <w:right w:val="none" w:sz="0" w:space="0" w:color="auto"/>
      </w:divBdr>
    </w:div>
    <w:div w:id="563181020">
      <w:bodyDiv w:val="1"/>
      <w:marLeft w:val="0"/>
      <w:marRight w:val="0"/>
      <w:marTop w:val="0"/>
      <w:marBottom w:val="0"/>
      <w:divBdr>
        <w:top w:val="none" w:sz="0" w:space="0" w:color="auto"/>
        <w:left w:val="none" w:sz="0" w:space="0" w:color="auto"/>
        <w:bottom w:val="none" w:sz="0" w:space="0" w:color="auto"/>
        <w:right w:val="none" w:sz="0" w:space="0" w:color="auto"/>
      </w:divBdr>
    </w:div>
    <w:div w:id="570624249">
      <w:bodyDiv w:val="1"/>
      <w:marLeft w:val="0"/>
      <w:marRight w:val="0"/>
      <w:marTop w:val="0"/>
      <w:marBottom w:val="0"/>
      <w:divBdr>
        <w:top w:val="none" w:sz="0" w:space="0" w:color="auto"/>
        <w:left w:val="none" w:sz="0" w:space="0" w:color="auto"/>
        <w:bottom w:val="none" w:sz="0" w:space="0" w:color="auto"/>
        <w:right w:val="none" w:sz="0" w:space="0" w:color="auto"/>
      </w:divBdr>
    </w:div>
    <w:div w:id="711996947">
      <w:bodyDiv w:val="1"/>
      <w:marLeft w:val="0"/>
      <w:marRight w:val="0"/>
      <w:marTop w:val="0"/>
      <w:marBottom w:val="0"/>
      <w:divBdr>
        <w:top w:val="none" w:sz="0" w:space="0" w:color="auto"/>
        <w:left w:val="none" w:sz="0" w:space="0" w:color="auto"/>
        <w:bottom w:val="none" w:sz="0" w:space="0" w:color="auto"/>
        <w:right w:val="none" w:sz="0" w:space="0" w:color="auto"/>
      </w:divBdr>
    </w:div>
    <w:div w:id="793711589">
      <w:bodyDiv w:val="1"/>
      <w:marLeft w:val="0"/>
      <w:marRight w:val="0"/>
      <w:marTop w:val="0"/>
      <w:marBottom w:val="0"/>
      <w:divBdr>
        <w:top w:val="none" w:sz="0" w:space="0" w:color="auto"/>
        <w:left w:val="none" w:sz="0" w:space="0" w:color="auto"/>
        <w:bottom w:val="none" w:sz="0" w:space="0" w:color="auto"/>
        <w:right w:val="none" w:sz="0" w:space="0" w:color="auto"/>
      </w:divBdr>
    </w:div>
    <w:div w:id="1282608200">
      <w:bodyDiv w:val="1"/>
      <w:marLeft w:val="0"/>
      <w:marRight w:val="0"/>
      <w:marTop w:val="0"/>
      <w:marBottom w:val="0"/>
      <w:divBdr>
        <w:top w:val="none" w:sz="0" w:space="0" w:color="auto"/>
        <w:left w:val="none" w:sz="0" w:space="0" w:color="auto"/>
        <w:bottom w:val="none" w:sz="0" w:space="0" w:color="auto"/>
        <w:right w:val="none" w:sz="0" w:space="0" w:color="auto"/>
      </w:divBdr>
    </w:div>
    <w:div w:id="1400058130">
      <w:bodyDiv w:val="1"/>
      <w:marLeft w:val="0"/>
      <w:marRight w:val="0"/>
      <w:marTop w:val="0"/>
      <w:marBottom w:val="0"/>
      <w:divBdr>
        <w:top w:val="none" w:sz="0" w:space="0" w:color="auto"/>
        <w:left w:val="none" w:sz="0" w:space="0" w:color="auto"/>
        <w:bottom w:val="none" w:sz="0" w:space="0" w:color="auto"/>
        <w:right w:val="none" w:sz="0" w:space="0" w:color="auto"/>
      </w:divBdr>
    </w:div>
    <w:div w:id="1537544581">
      <w:bodyDiv w:val="1"/>
      <w:marLeft w:val="0"/>
      <w:marRight w:val="0"/>
      <w:marTop w:val="0"/>
      <w:marBottom w:val="0"/>
      <w:divBdr>
        <w:top w:val="none" w:sz="0" w:space="0" w:color="auto"/>
        <w:left w:val="none" w:sz="0" w:space="0" w:color="auto"/>
        <w:bottom w:val="none" w:sz="0" w:space="0" w:color="auto"/>
        <w:right w:val="none" w:sz="0" w:space="0" w:color="auto"/>
      </w:divBdr>
    </w:div>
    <w:div w:id="1871723684">
      <w:bodyDiv w:val="1"/>
      <w:marLeft w:val="0"/>
      <w:marRight w:val="0"/>
      <w:marTop w:val="0"/>
      <w:marBottom w:val="0"/>
      <w:divBdr>
        <w:top w:val="none" w:sz="0" w:space="0" w:color="auto"/>
        <w:left w:val="none" w:sz="0" w:space="0" w:color="auto"/>
        <w:bottom w:val="none" w:sz="0" w:space="0" w:color="auto"/>
        <w:right w:val="none" w:sz="0" w:space="0" w:color="auto"/>
      </w:divBdr>
    </w:div>
    <w:div w:id="191196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apprenticeship@mt.gov" TargetMode="External"/><Relationship Id="rId18" Type="http://schemas.openxmlformats.org/officeDocument/2006/relationships/hyperlink" Target="mailto:beth.carter@montana.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https://files.constantcontact.com/4ac573ab001/e2db6b08-c411-431e-b90d-573c620238e3.jpg" TargetMode="External"/><Relationship Id="rId12" Type="http://schemas.openxmlformats.org/officeDocument/2006/relationships/hyperlink" Target="https://morhahec.teachable.com/courses" TargetMode="External"/><Relationship Id="rId17" Type="http://schemas.openxmlformats.org/officeDocument/2006/relationships/image" Target="https://files.constantcontact.com/4ac573ab001/dc7d8e3b-60e4-4c63-898a-65329c8d0490.jpg" TargetMode="External"/><Relationship Id="rId2" Type="http://schemas.openxmlformats.org/officeDocument/2006/relationships/styles" Target="styles.xml"/><Relationship Id="rId16" Type="http://schemas.openxmlformats.org/officeDocument/2006/relationships/hyperlink" Target="mailto:beth.carter@montana.edu"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https://files.constantcontact.com/4ac573ab001/bf847c8e-c1bb-4567-a507-e667ef205650.jpg" TargetMode="External"/><Relationship Id="rId5" Type="http://schemas.openxmlformats.org/officeDocument/2006/relationships/image" Target="media/image1.png"/><Relationship Id="rId15" Type="http://schemas.openxmlformats.org/officeDocument/2006/relationships/image" Target="https://files.constantcontact.com/4ac573ab001/771d9a2a-4d0c-4869-bb9b-27bad8977b78.jpg" TargetMode="External"/><Relationship Id="rId10" Type="http://schemas.openxmlformats.org/officeDocument/2006/relationships/hyperlink" Target="https://www.aafp.org/news/blogs/freshperspectives/entry/20180917fp-commhealth.html"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https://files.constantcontact.com/4ac573ab001/8ac65953-73a1-4fa5-83c4-bc62450d1cac.jpg" TargetMode="External"/><Relationship Id="rId14" Type="http://schemas.openxmlformats.org/officeDocument/2006/relationships/hyperlink" Target="http://r20.rs6.net/tn.jsp?f=0015JtScuerWI5HoccDnOd8ZTZrSKLfoxhVvBIqlbbUj3qBCcfTaokMFLm0XoWjY1FTXb0r_hCC-xWIybYYkuwp19X8VWXKDvN5C_dx3TxtuWNpid1kwQ2GP8_BzBPtywrHW-ozE-N6GH85D8lOh6FtGgSIUfBawHzm3XenAUL3k1Wn-LOOYC8oiA==&amp;c=8BJbBnUY8ZOAsooTxqcKYw9wJeWoyIslwOhLS1sfG8eVzpahDGwE-A==&amp;ch=2RFipb-NlSMrI_Ah3uuoqrXYOkCU8Tx1N5FRsYhu78VGGW3-RwpTB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757</Words>
  <Characters>4316</Characters>
  <Application>Microsoft Office Word</Application>
  <DocSecurity>0</DocSecurity>
  <Lines>35</Lines>
  <Paragraphs>10</Paragraphs>
  <ScaleCrop>false</ScaleCrop>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Hedstrom, Amanda</dc:creator>
  <cp:keywords/>
  <dc:description/>
  <cp:lastModifiedBy>Hedstrom, Amanda</cp:lastModifiedBy>
  <cp:revision>2</cp:revision>
  <dcterms:created xsi:type="dcterms:W3CDTF">2020-01-17T21:43:00Z</dcterms:created>
  <dcterms:modified xsi:type="dcterms:W3CDTF">2020-01-21T17:21:00Z</dcterms:modified>
</cp:coreProperties>
</file>